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1F5C8">
      <w:pPr>
        <w:pStyle w:val="8"/>
        <w:ind w:left="656" w:leftChars="298" w:firstLine="3" w:firstLineChars="0"/>
        <w:jc w:val="center"/>
        <w:rPr>
          <w:rFonts w:hint="default" w:ascii="Times New Roman" w:hAnsi="Times New Roman" w:cs="Times New Roman"/>
          <w:lang w:val="bs-Latn-BA" w:eastAsia="en-US"/>
        </w:rPr>
      </w:pPr>
      <w:bookmarkStart w:id="0" w:name="_GoBack"/>
      <w:bookmarkEnd w:id="0"/>
      <w:r>
        <w:rPr>
          <w:rFonts w:hint="default" w:ascii="Times New Roman" w:hAnsi="Times New Roman" w:cs="Times New Roman"/>
          <w:lang w:val="bs-Latn-BA" w:eastAsia="en-US"/>
        </w:rPr>
        <w:t xml:space="preserve">PRIJEDLOG IZMJENA I DOPUNA PLANA REALIZACIJE NASTAVE - </w:t>
      </w:r>
      <w:r>
        <w:rPr>
          <w:rFonts w:hint="default" w:ascii="Times New Roman" w:hAnsi="Times New Roman" w:cs="Times New Roman"/>
          <w:b/>
          <w:bCs/>
          <w:lang w:val="bs-Latn-BA" w:eastAsia="en-US"/>
        </w:rPr>
        <w:t xml:space="preserve">SARADNICI </w:t>
      </w:r>
      <w:r>
        <w:rPr>
          <w:rFonts w:hint="default" w:ascii="Times New Roman" w:hAnsi="Times New Roman" w:cs="Times New Roman"/>
          <w:lang w:val="bs-Latn-BA" w:eastAsia="en-US"/>
        </w:rPr>
        <w:t xml:space="preserve">ZA PRVI (I) CIKLUS STUDIJA, AK. 2025/2026. EKONOMSKI FAKULTET, ODSJEK: </w:t>
      </w:r>
      <w:r>
        <w:rPr>
          <w:rFonts w:hint="default" w:ascii="Times New Roman" w:hAnsi="Times New Roman" w:cs="Times New Roman"/>
          <w:b/>
          <w:bCs/>
          <w:lang w:val="bs-Latn-BA" w:eastAsia="en-US"/>
        </w:rPr>
        <w:t>EKONOMIJA</w:t>
      </w:r>
    </w:p>
    <w:p w14:paraId="1CA57FC1">
      <w:pPr>
        <w:pStyle w:val="6"/>
        <w:ind w:left="690" w:leftChars="136" w:hanging="391" w:hangingChars="163"/>
        <w:rPr>
          <w:rFonts w:hint="default" w:ascii="Times New Roman" w:hAnsi="Times New Roman" w:cs="Times New Roman"/>
        </w:rPr>
      </w:pPr>
    </w:p>
    <w:p w14:paraId="35CCEC10">
      <w:pPr>
        <w:pStyle w:val="6"/>
        <w:spacing w:before="201" w:line="276" w:lineRule="auto"/>
        <w:jc w:val="both"/>
        <w:rPr>
          <w:rFonts w:hint="default" w:ascii="Times New Roman" w:hAnsi="Times New Roman" w:cs="Times New Roman"/>
        </w:rPr>
      </w:pPr>
    </w:p>
    <w:tbl>
      <w:tblPr>
        <w:tblStyle w:val="5"/>
        <w:tblW w:w="14439" w:type="dxa"/>
        <w:tblInd w:w="6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5"/>
        <w:gridCol w:w="1137"/>
        <w:gridCol w:w="670"/>
        <w:gridCol w:w="2871"/>
        <w:gridCol w:w="992"/>
        <w:gridCol w:w="3969"/>
        <w:gridCol w:w="993"/>
        <w:gridCol w:w="1662"/>
      </w:tblGrid>
      <w:tr w14:paraId="3CB7B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145" w:type="dxa"/>
            <w:vMerge w:val="restart"/>
          </w:tcPr>
          <w:p w14:paraId="61F7D029">
            <w:pPr>
              <w:pStyle w:val="9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7AF9A489">
            <w:pPr>
              <w:pStyle w:val="9"/>
              <w:spacing w:before="110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562A0E55">
            <w:pPr>
              <w:pStyle w:val="9"/>
              <w:ind w:left="431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Nastavni</w:t>
            </w:r>
            <w:r>
              <w:rPr>
                <w:rFonts w:hint="default" w:ascii="Times New Roman" w:hAnsi="Times New Roman" w:cs="Times New Roman"/>
                <w:b/>
                <w:spacing w:val="-7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18"/>
                <w:szCs w:val="18"/>
              </w:rPr>
              <w:t>predmet</w:t>
            </w:r>
          </w:p>
        </w:tc>
        <w:tc>
          <w:tcPr>
            <w:tcW w:w="1137" w:type="dxa"/>
            <w:vMerge w:val="restart"/>
          </w:tcPr>
          <w:p w14:paraId="2674C8BE">
            <w:pPr>
              <w:pStyle w:val="9"/>
              <w:spacing w:before="76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6945F025">
            <w:pPr>
              <w:pStyle w:val="9"/>
              <w:spacing w:line="276" w:lineRule="auto"/>
              <w:ind w:left="164" w:right="153" w:firstLine="60"/>
              <w:jc w:val="both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18"/>
                <w:szCs w:val="18"/>
              </w:rPr>
              <w:t>Godina studija/ semestar</w:t>
            </w:r>
          </w:p>
        </w:tc>
        <w:tc>
          <w:tcPr>
            <w:tcW w:w="670" w:type="dxa"/>
            <w:vMerge w:val="restart"/>
          </w:tcPr>
          <w:p w14:paraId="3B1AB474">
            <w:pPr>
              <w:pStyle w:val="9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0A898708">
            <w:pPr>
              <w:pStyle w:val="9"/>
              <w:spacing w:before="71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590DFCEB">
            <w:pPr>
              <w:pStyle w:val="9"/>
              <w:spacing w:before="1" w:line="278" w:lineRule="auto"/>
              <w:ind w:left="108" w:right="142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18"/>
                <w:szCs w:val="18"/>
              </w:rPr>
              <w:t>Fond sati</w:t>
            </w:r>
          </w:p>
        </w:tc>
        <w:tc>
          <w:tcPr>
            <w:tcW w:w="3863" w:type="dxa"/>
            <w:gridSpan w:val="2"/>
          </w:tcPr>
          <w:p w14:paraId="08ACBA5C">
            <w:pPr>
              <w:pStyle w:val="9"/>
              <w:spacing w:before="160"/>
              <w:ind w:left="901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Prethodna</w:t>
            </w:r>
            <w:r>
              <w:rPr>
                <w:rFonts w:hint="default" w:ascii="Times New Roman" w:hAnsi="Times New Roman" w:cs="Times New Roman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pokrivenost</w:t>
            </w:r>
            <w:r>
              <w:rPr>
                <w:rFonts w:hint="default" w:ascii="Times New Roman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18"/>
                <w:szCs w:val="18"/>
              </w:rPr>
              <w:t>nastave</w:t>
            </w:r>
          </w:p>
        </w:tc>
        <w:tc>
          <w:tcPr>
            <w:tcW w:w="4962" w:type="dxa"/>
            <w:gridSpan w:val="2"/>
          </w:tcPr>
          <w:p w14:paraId="65761FFB">
            <w:pPr>
              <w:pStyle w:val="9"/>
              <w:spacing w:before="160"/>
              <w:ind w:left="1074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Izmjene</w:t>
            </w:r>
            <w:r>
              <w:rPr>
                <w:rFonts w:hint="default" w:ascii="Times New Roman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pokrivenosti</w:t>
            </w:r>
            <w:r>
              <w:rPr>
                <w:rFonts w:hint="default" w:ascii="Times New Roman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18"/>
                <w:szCs w:val="18"/>
              </w:rPr>
              <w:t>nastave</w:t>
            </w:r>
          </w:p>
        </w:tc>
        <w:tc>
          <w:tcPr>
            <w:tcW w:w="1662" w:type="dxa"/>
            <w:vMerge w:val="restart"/>
          </w:tcPr>
          <w:p w14:paraId="7FB5C1BD">
            <w:pPr>
              <w:pStyle w:val="9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7AD65C87">
            <w:pPr>
              <w:pStyle w:val="9"/>
              <w:spacing w:before="179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0CA8A467">
            <w:pPr>
              <w:pStyle w:val="9"/>
              <w:spacing w:before="1" w:line="278" w:lineRule="auto"/>
              <w:ind w:left="301" w:right="289" w:firstLine="232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18"/>
                <w:szCs w:val="18"/>
              </w:rPr>
              <w:t xml:space="preserve">Napomena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(razlog</w:t>
            </w:r>
            <w:r>
              <w:rPr>
                <w:rFonts w:hint="default" w:ascii="Times New Roman" w:hAnsi="Times New Roman" w:cs="Times New Roman"/>
                <w:b/>
                <w:spacing w:val="-13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izmjene)</w:t>
            </w:r>
          </w:p>
        </w:tc>
      </w:tr>
      <w:tr w14:paraId="67DD3B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atLeast"/>
        </w:trPr>
        <w:tc>
          <w:tcPr>
            <w:tcW w:w="2145" w:type="dxa"/>
            <w:vMerge w:val="continue"/>
            <w:tcBorders>
              <w:top w:val="nil"/>
            </w:tcBorders>
          </w:tcPr>
          <w:p w14:paraId="6E49885D">
            <w:pPr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Merge w:val="continue"/>
            <w:tcBorders>
              <w:top w:val="nil"/>
            </w:tcBorders>
          </w:tcPr>
          <w:p w14:paraId="16013A05">
            <w:pPr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top w:val="nil"/>
            </w:tcBorders>
          </w:tcPr>
          <w:p w14:paraId="481B8A63">
            <w:pPr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1" w:type="dxa"/>
          </w:tcPr>
          <w:p w14:paraId="6398D71F">
            <w:pPr>
              <w:pStyle w:val="9"/>
              <w:spacing w:before="81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7981B453">
            <w:pPr>
              <w:pStyle w:val="9"/>
              <w:ind w:left="1014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18"/>
                <w:szCs w:val="18"/>
              </w:rPr>
              <w:t>Nastavnik/saradnik</w:t>
            </w:r>
          </w:p>
        </w:tc>
        <w:tc>
          <w:tcPr>
            <w:tcW w:w="992" w:type="dxa"/>
          </w:tcPr>
          <w:p w14:paraId="7FEFBBD9">
            <w:pPr>
              <w:pStyle w:val="9"/>
              <w:spacing w:before="48" w:line="276" w:lineRule="auto"/>
              <w:ind w:left="13" w:right="3"/>
              <w:jc w:val="center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18"/>
                <w:szCs w:val="18"/>
              </w:rPr>
              <w:t xml:space="preserve">Broj </w:t>
            </w:r>
            <w:r>
              <w:rPr>
                <w:rFonts w:hint="default" w:ascii="Times New Roman" w:hAnsi="Times New Roman" w:cs="Times New Roman"/>
                <w:b/>
                <w:spacing w:val="-2"/>
                <w:sz w:val="18"/>
                <w:szCs w:val="18"/>
              </w:rPr>
              <w:t xml:space="preserve">održanih </w:t>
            </w:r>
            <w:r>
              <w:rPr>
                <w:rFonts w:hint="default" w:ascii="Times New Roman" w:hAnsi="Times New Roman" w:cs="Times New Roman"/>
                <w:b/>
                <w:spacing w:val="-4"/>
                <w:sz w:val="18"/>
                <w:szCs w:val="18"/>
              </w:rPr>
              <w:t>sati</w:t>
            </w:r>
          </w:p>
        </w:tc>
        <w:tc>
          <w:tcPr>
            <w:tcW w:w="3969" w:type="dxa"/>
          </w:tcPr>
          <w:p w14:paraId="2B068306">
            <w:pPr>
              <w:pStyle w:val="9"/>
              <w:spacing w:before="81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  <w:p w14:paraId="33DD3527">
            <w:pPr>
              <w:pStyle w:val="9"/>
              <w:ind w:left="1029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18"/>
                <w:szCs w:val="18"/>
              </w:rPr>
              <w:t>Nastavnik/saradnik</w:t>
            </w:r>
          </w:p>
        </w:tc>
        <w:tc>
          <w:tcPr>
            <w:tcW w:w="993" w:type="dxa"/>
          </w:tcPr>
          <w:p w14:paraId="484CE6F1">
            <w:pPr>
              <w:pStyle w:val="9"/>
              <w:spacing w:before="48" w:line="276" w:lineRule="auto"/>
              <w:ind w:left="37" w:right="26"/>
              <w:jc w:val="center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pacing w:val="-4"/>
                <w:sz w:val="18"/>
                <w:szCs w:val="18"/>
              </w:rPr>
              <w:t xml:space="preserve">Broj </w:t>
            </w:r>
            <w:r>
              <w:rPr>
                <w:rFonts w:hint="default" w:ascii="Times New Roman" w:hAnsi="Times New Roman" w:cs="Times New Roman"/>
                <w:b/>
                <w:spacing w:val="-2"/>
                <w:sz w:val="18"/>
                <w:szCs w:val="18"/>
              </w:rPr>
              <w:t xml:space="preserve">planiranih </w:t>
            </w:r>
            <w:r>
              <w:rPr>
                <w:rFonts w:hint="default" w:ascii="Times New Roman" w:hAnsi="Times New Roman" w:cs="Times New Roman"/>
                <w:b/>
                <w:spacing w:val="-4"/>
                <w:sz w:val="18"/>
                <w:szCs w:val="18"/>
              </w:rPr>
              <w:t>sati</w:t>
            </w:r>
          </w:p>
        </w:tc>
        <w:tc>
          <w:tcPr>
            <w:tcW w:w="1662" w:type="dxa"/>
            <w:vMerge w:val="continue"/>
            <w:tcBorders>
              <w:top w:val="nil"/>
            </w:tcBorders>
          </w:tcPr>
          <w:p w14:paraId="49449A38">
            <w:pPr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 w14:paraId="0327D5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145" w:type="dxa"/>
            <w:vAlign w:val="center"/>
          </w:tcPr>
          <w:p w14:paraId="2D2F19FF">
            <w:pPr>
              <w:pStyle w:val="9"/>
              <w:ind w:left="311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Javne finansije</w:t>
            </w:r>
          </w:p>
        </w:tc>
        <w:tc>
          <w:tcPr>
            <w:tcW w:w="1137" w:type="dxa"/>
            <w:vAlign w:val="center"/>
          </w:tcPr>
          <w:p w14:paraId="03050EED">
            <w:pPr>
              <w:pStyle w:val="9"/>
              <w:ind w:left="7" w:right="5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IV/VIII</w:t>
            </w:r>
          </w:p>
        </w:tc>
        <w:tc>
          <w:tcPr>
            <w:tcW w:w="670" w:type="dxa"/>
            <w:vAlign w:val="center"/>
          </w:tcPr>
          <w:p w14:paraId="741A51EB">
            <w:pPr>
              <w:pStyle w:val="9"/>
              <w:ind w:left="7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71" w:type="dxa"/>
            <w:vAlign w:val="center"/>
          </w:tcPr>
          <w:p w14:paraId="7FB574B6">
            <w:pPr>
              <w:ind w:firstLine="90" w:firstLineChars="50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Muhamed Ibrić, MA viši asistent</w:t>
            </w:r>
          </w:p>
          <w:p w14:paraId="30C58A94">
            <w:pPr>
              <w:pStyle w:val="9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Lejla Elezović, </w:t>
            </w:r>
            <w:r>
              <w:rPr>
                <w:rFonts w:hint="default" w:cs="Times New Roman"/>
                <w:sz w:val="18"/>
                <w:szCs w:val="18"/>
                <w:lang w:val="bs-Latn-BA"/>
              </w:rPr>
              <w:t>istaknuti s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tručnjak iz prakse</w:t>
            </w:r>
          </w:p>
        </w:tc>
        <w:tc>
          <w:tcPr>
            <w:tcW w:w="992" w:type="dxa"/>
            <w:vAlign w:val="center"/>
          </w:tcPr>
          <w:p w14:paraId="6AC44509">
            <w:pP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        0,5</w:t>
            </w:r>
          </w:p>
          <w:p w14:paraId="25621108">
            <w:pPr>
              <w:pStyle w:val="9"/>
              <w:ind w:left="13" w:right="5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3969" w:type="dxa"/>
            <w:vAlign w:val="center"/>
          </w:tcPr>
          <w:p w14:paraId="2E4B5A96">
            <w:pPr>
              <w:ind w:firstLine="90" w:firstLineChars="50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Muhamed Ibrić, MA viši asistent</w:t>
            </w:r>
          </w:p>
          <w:p w14:paraId="700BFA6F">
            <w:pPr>
              <w:pStyle w:val="9"/>
              <w:spacing w:line="360" w:lineRule="auto"/>
              <w:ind w:left="107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Zerina Mehmedović, asistent, spoljni saradnik</w:t>
            </w:r>
          </w:p>
        </w:tc>
        <w:tc>
          <w:tcPr>
            <w:tcW w:w="993" w:type="dxa"/>
            <w:vAlign w:val="center"/>
          </w:tcPr>
          <w:p w14:paraId="73C49821">
            <w:pP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        0,5</w:t>
            </w:r>
          </w:p>
          <w:p w14:paraId="2F01B236">
            <w:pPr>
              <w:pStyle w:val="9"/>
              <w:ind w:left="107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662" w:type="dxa"/>
          </w:tcPr>
          <w:p w14:paraId="6F1E9430">
            <w:pPr>
              <w:pStyle w:val="9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Preraspodjela zbog odustajanja od angažmana.</w:t>
            </w:r>
          </w:p>
        </w:tc>
      </w:tr>
      <w:tr w14:paraId="22060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</w:trPr>
        <w:tc>
          <w:tcPr>
            <w:tcW w:w="2145" w:type="dxa"/>
            <w:vAlign w:val="center"/>
          </w:tcPr>
          <w:p w14:paraId="2A3EDD6B">
            <w:pPr>
              <w:pStyle w:val="9"/>
              <w:spacing w:line="278" w:lineRule="auto"/>
              <w:ind w:left="228" w:right="218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Portfolio menadžment finansijskih institucija</w:t>
            </w:r>
          </w:p>
        </w:tc>
        <w:tc>
          <w:tcPr>
            <w:tcW w:w="1137" w:type="dxa"/>
            <w:vAlign w:val="center"/>
          </w:tcPr>
          <w:p w14:paraId="35523252">
            <w:pPr>
              <w:pStyle w:val="9"/>
              <w:ind w:left="7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IV/VIII</w:t>
            </w:r>
          </w:p>
        </w:tc>
        <w:tc>
          <w:tcPr>
            <w:tcW w:w="670" w:type="dxa"/>
            <w:vAlign w:val="center"/>
          </w:tcPr>
          <w:p w14:paraId="061D4B7F">
            <w:pPr>
              <w:pStyle w:val="9"/>
              <w:ind w:left="7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71" w:type="dxa"/>
            <w:vAlign w:val="center"/>
          </w:tcPr>
          <w:p w14:paraId="40D5C8E3">
            <w:pPr>
              <w:ind w:firstLine="90" w:firstLineChars="50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Muhamed Ibrić, MA viši asistent</w:t>
            </w:r>
          </w:p>
          <w:p w14:paraId="2CE5F49F">
            <w:pPr>
              <w:pStyle w:val="9"/>
              <w:spacing w:line="278" w:lineRule="auto"/>
              <w:ind w:firstLine="90" w:firstLineChars="50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Lejla Elezović, </w:t>
            </w:r>
            <w:r>
              <w:rPr>
                <w:rFonts w:hint="default" w:cs="Times New Roman"/>
                <w:sz w:val="18"/>
                <w:szCs w:val="18"/>
                <w:lang w:val="bs-Latn-BA"/>
              </w:rPr>
              <w:t>istaknuti s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tručnjak iz prakse</w:t>
            </w:r>
          </w:p>
        </w:tc>
        <w:tc>
          <w:tcPr>
            <w:tcW w:w="992" w:type="dxa"/>
            <w:vAlign w:val="center"/>
          </w:tcPr>
          <w:p w14:paraId="03F75420">
            <w:pP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        0,5</w:t>
            </w:r>
          </w:p>
          <w:p w14:paraId="768E23E3">
            <w:pPr>
              <w:pStyle w:val="9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3969" w:type="dxa"/>
            <w:vAlign w:val="center"/>
          </w:tcPr>
          <w:p w14:paraId="3950755C">
            <w:pPr>
              <w:ind w:firstLine="90" w:firstLineChars="50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Muhamed Ibrić, MA viši asistent</w:t>
            </w:r>
          </w:p>
          <w:p w14:paraId="17C7C65B">
            <w:pPr>
              <w:pStyle w:val="9"/>
              <w:spacing w:line="320" w:lineRule="atLeast"/>
              <w:ind w:left="107" w:right="242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Zerina Mehmedović, asistent, spoljni saradnik</w:t>
            </w:r>
          </w:p>
        </w:tc>
        <w:tc>
          <w:tcPr>
            <w:tcW w:w="993" w:type="dxa"/>
            <w:vAlign w:val="center"/>
          </w:tcPr>
          <w:p w14:paraId="565CF7DD">
            <w:pP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         0,5</w:t>
            </w:r>
          </w:p>
          <w:p w14:paraId="7FBE256F">
            <w:pPr>
              <w:pStyle w:val="9"/>
              <w:ind w:left="107"/>
              <w:jc w:val="center"/>
              <w:rPr>
                <w:rFonts w:hint="default" w:ascii="Times New Roman" w:hAnsi="Times New Roman" w:cs="Times New Roman"/>
                <w:spacing w:val="-5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662" w:type="dxa"/>
          </w:tcPr>
          <w:p w14:paraId="3CAF0956">
            <w:pPr>
              <w:pStyle w:val="9"/>
              <w:spacing w:line="278" w:lineRule="auto"/>
              <w:ind w:right="211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Preraspodjela zbog odustajanja od angažmana.</w:t>
            </w:r>
          </w:p>
        </w:tc>
      </w:tr>
    </w:tbl>
    <w:p w14:paraId="5C209DD5">
      <w:pPr>
        <w:tabs>
          <w:tab w:val="left" w:pos="7938"/>
        </w:tabs>
        <w:ind w:left="660" w:leftChars="300" w:firstLine="0" w:firstLineChars="0"/>
        <w:rPr>
          <w:rFonts w:hint="default" w:ascii="Times New Roman" w:hAnsi="Times New Roman" w:cs="Times New Roman"/>
          <w:lang w:val="bs-Latn-BA"/>
        </w:rPr>
      </w:pPr>
    </w:p>
    <w:p w14:paraId="09FAAA64">
      <w:pPr>
        <w:tabs>
          <w:tab w:val="left" w:pos="7938"/>
        </w:tabs>
        <w:ind w:left="880" w:leftChars="400" w:firstLine="0" w:firstLineChars="0"/>
        <w:rPr>
          <w:rFonts w:hint="default" w:ascii="Times New Roman" w:hAnsi="Times New Roman" w:cs="Times New Roman"/>
          <w:lang w:val="bs-Latn-BA"/>
        </w:rPr>
      </w:pPr>
      <w:r>
        <w:rPr>
          <w:rFonts w:hint="default" w:ascii="Times New Roman" w:hAnsi="Times New Roman" w:cs="Times New Roman"/>
          <w:lang w:val="bs-Latn-BA"/>
        </w:rPr>
        <w:t xml:space="preserve">Ovlašteni predlagač:                                                              Predsjedavajući NNV                                          Datum podnošenja prijedloga: 24.03.2026. godine </w:t>
      </w:r>
    </w:p>
    <w:p w14:paraId="3E6B3BC8">
      <w:pPr>
        <w:tabs>
          <w:tab w:val="left" w:pos="7938"/>
        </w:tabs>
        <w:ind w:left="880" w:leftChars="400" w:firstLine="0" w:firstLineChars="0"/>
        <w:rPr>
          <w:rFonts w:hint="default" w:ascii="Times New Roman" w:hAnsi="Times New Roman" w:cs="Times New Roman"/>
          <w:lang w:val="bs-Latn-BA"/>
        </w:rPr>
      </w:pPr>
      <w:r>
        <w:rPr>
          <w:rFonts w:hint="default" w:ascii="Times New Roman" w:hAnsi="Times New Roman" w:cs="Times New Roman"/>
          <w:lang w:val="bs-Latn-BA"/>
        </w:rPr>
        <w:t xml:space="preserve">Dr. sc. Selma Smajlović, vanr. prof.                             Dr. sc. Adisa Delić, red. prof. </w:t>
      </w:r>
    </w:p>
    <w:p w14:paraId="1F662565">
      <w:pPr>
        <w:pStyle w:val="6"/>
        <w:ind w:left="660" w:leftChars="300" w:firstLine="0" w:firstLineChars="0"/>
        <w:rPr>
          <w:rFonts w:cs="Times New Roman" w:asciiTheme="majorHAnsi" w:hAnsiTheme="majorHAnsi"/>
        </w:rPr>
      </w:pPr>
    </w:p>
    <w:sectPr>
      <w:pgSz w:w="15840" w:h="12240" w:orient="landscape"/>
      <w:pgMar w:top="1380" w:right="660" w:bottom="280" w:left="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04B"/>
    <w:rsid w:val="000C2EE4"/>
    <w:rsid w:val="002D42F8"/>
    <w:rsid w:val="002E1408"/>
    <w:rsid w:val="002F710F"/>
    <w:rsid w:val="00315B60"/>
    <w:rsid w:val="003E3566"/>
    <w:rsid w:val="004033C5"/>
    <w:rsid w:val="004504AF"/>
    <w:rsid w:val="00471271"/>
    <w:rsid w:val="004B6168"/>
    <w:rsid w:val="004E7722"/>
    <w:rsid w:val="005021DE"/>
    <w:rsid w:val="00504A2A"/>
    <w:rsid w:val="00521916"/>
    <w:rsid w:val="006258BB"/>
    <w:rsid w:val="006D4ED0"/>
    <w:rsid w:val="007172D7"/>
    <w:rsid w:val="00741D4B"/>
    <w:rsid w:val="007622FD"/>
    <w:rsid w:val="0078138D"/>
    <w:rsid w:val="007C47A9"/>
    <w:rsid w:val="00882EFD"/>
    <w:rsid w:val="008B15CA"/>
    <w:rsid w:val="00923292"/>
    <w:rsid w:val="00943B7A"/>
    <w:rsid w:val="009F0139"/>
    <w:rsid w:val="00A04BAA"/>
    <w:rsid w:val="00A163DB"/>
    <w:rsid w:val="00A24662"/>
    <w:rsid w:val="00A2566F"/>
    <w:rsid w:val="00A61C8D"/>
    <w:rsid w:val="00AB4BD9"/>
    <w:rsid w:val="00B27DB3"/>
    <w:rsid w:val="00B95C2D"/>
    <w:rsid w:val="00C20927"/>
    <w:rsid w:val="00DB2106"/>
    <w:rsid w:val="00DD256A"/>
    <w:rsid w:val="00DF60B6"/>
    <w:rsid w:val="00E977B8"/>
    <w:rsid w:val="00EC404B"/>
    <w:rsid w:val="00F0706E"/>
    <w:rsid w:val="00F26D06"/>
    <w:rsid w:val="00FD66F6"/>
    <w:rsid w:val="00FE3CD9"/>
    <w:rsid w:val="03181BF2"/>
    <w:rsid w:val="0E69518A"/>
    <w:rsid w:val="156C5731"/>
    <w:rsid w:val="2E374FFC"/>
    <w:rsid w:val="4056719A"/>
    <w:rsid w:val="4D114DA6"/>
    <w:rsid w:val="639F08FC"/>
    <w:rsid w:val="74C8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Cambria" w:hAnsi="Cambria" w:eastAsia="Cambria" w:cs="Cambria"/>
      <w:sz w:val="22"/>
      <w:szCs w:val="22"/>
      <w:lang w:val="bs" w:eastAsia="en-US" w:bidi="ar-SA"/>
    </w:rPr>
  </w:style>
  <w:style w:type="paragraph" w:styleId="2">
    <w:name w:val="heading 1"/>
    <w:basedOn w:val="1"/>
    <w:qFormat/>
    <w:uiPriority w:val="9"/>
    <w:pPr>
      <w:spacing w:before="204"/>
      <w:ind w:left="1440"/>
      <w:outlineLvl w:val="0"/>
    </w:pPr>
    <w:rPr>
      <w:b/>
      <w:bCs/>
      <w:sz w:val="24"/>
      <w:szCs w:val="24"/>
    </w:rPr>
  </w:style>
  <w:style w:type="paragraph" w:styleId="3">
    <w:name w:val="heading 2"/>
    <w:basedOn w:val="1"/>
    <w:unhideWhenUsed/>
    <w:qFormat/>
    <w:uiPriority w:val="9"/>
    <w:pPr>
      <w:ind w:left="1440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sz w:val="24"/>
      <w:szCs w:val="24"/>
    </w:rPr>
  </w:style>
  <w:style w:type="paragraph" w:styleId="7">
    <w:name w:val="footer"/>
    <w:basedOn w:val="1"/>
    <w:link w:val="10"/>
    <w:unhideWhenUsed/>
    <w:qFormat/>
    <w:uiPriority w:val="99"/>
    <w:pPr>
      <w:widowControl/>
      <w:tabs>
        <w:tab w:val="center" w:pos="4536"/>
        <w:tab w:val="right" w:pos="9072"/>
      </w:tabs>
      <w:autoSpaceDE/>
      <w:autoSpaceDN/>
    </w:pPr>
    <w:rPr>
      <w:rFonts w:ascii="Calibri" w:hAnsi="Calibri" w:eastAsia="Times New Roman" w:cs="Times New Roman"/>
      <w:lang w:val="en-US"/>
    </w:rPr>
  </w:style>
  <w:style w:type="paragraph" w:styleId="8">
    <w:name w:val="List Paragraph"/>
    <w:basedOn w:val="1"/>
    <w:qFormat/>
    <w:uiPriority w:val="1"/>
    <w:pPr>
      <w:spacing w:before="42"/>
      <w:ind w:left="2159" w:hanging="359"/>
    </w:pPr>
  </w:style>
  <w:style w:type="paragraph" w:customStyle="1" w:styleId="9">
    <w:name w:val="Table Paragraph"/>
    <w:basedOn w:val="1"/>
    <w:qFormat/>
    <w:uiPriority w:val="1"/>
    <w:rPr>
      <w:rFonts w:ascii="Times New Roman" w:hAnsi="Times New Roman" w:eastAsia="Times New Roman" w:cs="Times New Roman"/>
    </w:rPr>
  </w:style>
  <w:style w:type="character" w:customStyle="1" w:styleId="10">
    <w:name w:val="Footer Char"/>
    <w:basedOn w:val="4"/>
    <w:link w:val="7"/>
    <w:qFormat/>
    <w:uiPriority w:val="99"/>
    <w:rPr>
      <w:rFonts w:ascii="Calibri" w:hAnsi="Calibri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1493</Characters>
  <Lines>12</Lines>
  <Paragraphs>3</Paragraphs>
  <TotalTime>4</TotalTime>
  <ScaleCrop>false</ScaleCrop>
  <LinksUpToDate>false</LinksUpToDate>
  <CharactersWithSpaces>1751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2026-02-13T14:00:00Z</dcterms:created>
  <dc:creator>Muhamed Ibric</dc:creator>
  <cp:lastModifiedBy>UNTZ EF 3</cp:lastModifiedBy>
  <cp:lastPrinted>2026-03-23T08:21:00Z</cp:lastPrinted>
  <dcterms:modified xsi:type="dcterms:W3CDTF">2026-03-25T13:54:07Z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2025-12-23T00:00:00Z</vt:filetime>
  </property>
  <property fmtid="{D5CDD505-2E9C-101B-9397-08002B2CF9AE}" pid="5" name="SourceModified">
    <vt:lpwstr>D:20251222113957+01'00'</vt:lpwstr>
  </property>
  <property fmtid="{D5CDD505-2E9C-101B-9397-08002B2CF9AE}" pid="6" name="GrammarlyDocumentId">
    <vt:lpwstr>7798da8f-2dd6-403c-9625-3635a3392939</vt:lpwstr>
  </property>
  <property fmtid="{D5CDD505-2E9C-101B-9397-08002B2CF9AE}" pid="7" name="KSOProductBuildVer">
    <vt:lpwstr>2057-12.2.0.23196</vt:lpwstr>
  </property>
  <property fmtid="{D5CDD505-2E9C-101B-9397-08002B2CF9AE}" pid="8" name="ICV">
    <vt:lpwstr>2E7A8541EC504B529E848119B544E37A_13</vt:lpwstr>
  </property>
</Properties>
</file>